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9BBF" w14:textId="176283C0" w:rsidR="00B343C5" w:rsidRDefault="00B343C5" w:rsidP="00B343C5">
      <w:pPr>
        <w:contextualSpacing/>
        <w:rPr>
          <w:b/>
          <w:bCs/>
        </w:rPr>
      </w:pPr>
      <w:r>
        <w:rPr>
          <w:b/>
          <w:bCs/>
        </w:rPr>
        <w:t>SAMPLE SICK AND SAFE TIME-COMPLIANT POLICY</w:t>
      </w:r>
    </w:p>
    <w:p w14:paraId="5D711F28" w14:textId="57C52DA7" w:rsidR="00B343C5" w:rsidRDefault="00B343C5" w:rsidP="00B343C5">
      <w:pPr>
        <w:contextualSpacing/>
        <w:rPr>
          <w:b/>
          <w:bCs/>
          <w:i/>
          <w:iCs/>
        </w:rPr>
      </w:pPr>
    </w:p>
    <w:p w14:paraId="72C8F896" w14:textId="1848853E" w:rsidR="00076A8C" w:rsidRPr="00076A8C" w:rsidRDefault="00A33D68" w:rsidP="00076A8C">
      <w:pPr>
        <w:contextualSpacing/>
        <w:jc w:val="left"/>
        <w:rPr>
          <w:i/>
          <w:iCs/>
        </w:rPr>
      </w:pPr>
      <w:r w:rsidRPr="00833E95">
        <w:rPr>
          <w:b/>
          <w:bCs/>
          <w:noProof/>
          <w:highlight w:val="yellow"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061B7B2B" wp14:editId="5E999B31">
                <wp:simplePos x="0" y="0"/>
                <wp:positionH relativeFrom="margin">
                  <wp:align>right</wp:align>
                </wp:positionH>
                <wp:positionV relativeFrom="margin">
                  <wp:posOffset>1449705</wp:posOffset>
                </wp:positionV>
                <wp:extent cx="5943600" cy="3702050"/>
                <wp:effectExtent l="0" t="0" r="0" b="0"/>
                <wp:wrapTopAndBottom/>
                <wp:docPr id="4" name="Rectangle 4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70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7C35C9" w14:textId="3F666B4C" w:rsidR="00076A8C" w:rsidRPr="00076A8C" w:rsidRDefault="00076A8C" w:rsidP="00076A8C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20530">
                              <w:rPr>
                                <w:b/>
                                <w:bCs/>
                                <w:color w:val="FFFF00"/>
                              </w:rPr>
                              <w:t>[</w:t>
                            </w:r>
                            <w:r w:rsidR="0054283A" w:rsidRPr="00D20530">
                              <w:rPr>
                                <w:b/>
                                <w:bCs/>
                                <w:color w:val="FFFF00"/>
                              </w:rPr>
                              <w:t>Generally, an employer</w:t>
                            </w:r>
                            <w:r w:rsidRPr="00D20530">
                              <w:rPr>
                                <w:b/>
                                <w:bCs/>
                                <w:color w:val="FFFF00"/>
                              </w:rPr>
                              <w:t xml:space="preserve"> choose</w:t>
                            </w:r>
                            <w:r w:rsidR="0054283A" w:rsidRPr="00D20530">
                              <w:rPr>
                                <w:b/>
                                <w:bCs/>
                                <w:color w:val="FFFF00"/>
                              </w:rPr>
                              <w:t>s</w:t>
                            </w:r>
                            <w:r w:rsidRPr="00D20530">
                              <w:rPr>
                                <w:b/>
                                <w:bCs/>
                                <w:color w:val="FFFF00"/>
                              </w:rPr>
                              <w:t xml:space="preserve"> </w:t>
                            </w:r>
                            <w:r w:rsidR="0054283A" w:rsidRPr="00D20530">
                              <w:rPr>
                                <w:b/>
                                <w:bCs/>
                                <w:color w:val="FFFF00"/>
                              </w:rPr>
                              <w:t>one</w:t>
                            </w:r>
                            <w:r w:rsidRPr="00D20530">
                              <w:rPr>
                                <w:b/>
                                <w:bCs/>
                                <w:color w:val="FFFF00"/>
                              </w:rPr>
                              <w:t xml:space="preserve"> of the following two paragraphs, but not both:]</w:t>
                            </w:r>
                          </w:p>
                          <w:p w14:paraId="0721CC29" w14:textId="7BB5AC1D" w:rsidR="00FF5FA8" w:rsidRPr="00913A28" w:rsidRDefault="00FF5FA8" w:rsidP="00FF5FA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13A28">
                              <w:rPr>
                                <w:color w:val="000000" w:themeColor="text1"/>
                              </w:rPr>
                              <w:t xml:space="preserve">Pursuant to Minneapolis ordinance, employees are entitled to earn sick and safe leave at the rate of one (1) hour for every thirty (30) hours worked, up to a maximum of forty-eight (48) hours accrued per year. Accrued and unused hours carry over into future years, up to a maximum of eighty (80) hours accrued overall. When the 80-hour overall limit is reached, accrual immediately stops until </w:t>
                            </w:r>
                            <w:r w:rsidR="00277C5A" w:rsidRPr="00913A28">
                              <w:rPr>
                                <w:color w:val="000000" w:themeColor="text1"/>
                              </w:rPr>
                              <w:t>usage occurs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, at which time accrual restarts (until </w:t>
                            </w:r>
                            <w:r w:rsidR="0028056A" w:rsidRPr="00913A28">
                              <w:rPr>
                                <w:color w:val="000000" w:themeColor="text1"/>
                              </w:rPr>
                              <w:t xml:space="preserve">either 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the yearly or overall limit is reached). When the 48-hour yearly limit is reached, accrual does not restart until the following year. The year starts on 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_____</w:t>
                            </w:r>
                            <w:r w:rsidR="00277C5A" w:rsidRPr="00913A28">
                              <w:rPr>
                                <w:color w:val="000000" w:themeColor="text1"/>
                                <w:highlight w:val="yellow"/>
                              </w:rPr>
                              <w:t>__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 and ends on 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____</w:t>
                            </w:r>
                            <w:r w:rsidR="00277C5A" w:rsidRPr="00913A28">
                              <w:rPr>
                                <w:color w:val="000000" w:themeColor="text1"/>
                                <w:highlight w:val="yellow"/>
                              </w:rPr>
                              <w:t>_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____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>. The terms under which employees are permitted to use this leave are set forth below.</w:t>
                            </w:r>
                          </w:p>
                          <w:p w14:paraId="36A2053B" w14:textId="1970E50C" w:rsidR="00FF5FA8" w:rsidRPr="00913A28" w:rsidRDefault="00FF5FA8" w:rsidP="00FF5FA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13A28">
                              <w:rPr>
                                <w:color w:val="000000" w:themeColor="text1"/>
                              </w:rPr>
                              <w:t>Pursuant to Minneapolis ordinance, employees are entitled to earn sick and safe leave up to a maximum of 48 hours per year and 80 hours overall. To comply with the law, employees will be awarded 48 hours</w:t>
                            </w:r>
                            <w:r w:rsidRPr="00913A2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of leave </w:t>
                            </w:r>
                            <w:r w:rsidR="00514B4B" w:rsidRPr="00913A28">
                              <w:rPr>
                                <w:color w:val="000000" w:themeColor="text1"/>
                              </w:rPr>
                              <w:t xml:space="preserve">to use </w:t>
                            </w:r>
                            <w:r w:rsidR="00A33D68" w:rsidRPr="00913A28">
                              <w:rPr>
                                <w:color w:val="000000" w:themeColor="text1"/>
                              </w:rPr>
                              <w:t xml:space="preserve">after 90 days of 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employment and 80 hours at the beginning of every year thereafter. Unused hours do </w:t>
                            </w:r>
                            <w:r w:rsidRPr="00913A28">
                              <w:rPr>
                                <w:color w:val="000000" w:themeColor="text1"/>
                                <w:u w:val="single"/>
                              </w:rPr>
                              <w:t>not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 carry over from year to year. The year commences on 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___</w:t>
                            </w:r>
                            <w:r w:rsidR="00076A8C" w:rsidRPr="00913A28">
                              <w:rPr>
                                <w:color w:val="000000" w:themeColor="text1"/>
                                <w:highlight w:val="yellow"/>
                              </w:rPr>
                              <w:t>_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</w:t>
                            </w:r>
                            <w:r w:rsidR="00277C5A" w:rsidRPr="00913A28">
                              <w:rPr>
                                <w:color w:val="000000" w:themeColor="text1"/>
                                <w:highlight w:val="yellow"/>
                              </w:rPr>
                              <w:t>_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___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 and ends on 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___</w:t>
                            </w:r>
                            <w:r w:rsidR="00076A8C" w:rsidRPr="00913A28">
                              <w:rPr>
                                <w:color w:val="000000" w:themeColor="text1"/>
                                <w:highlight w:val="yellow"/>
                              </w:rPr>
                              <w:t>_</w:t>
                            </w:r>
                            <w:r w:rsidR="00277C5A" w:rsidRPr="00913A28">
                              <w:rPr>
                                <w:color w:val="000000" w:themeColor="text1"/>
                                <w:highlight w:val="yellow"/>
                              </w:rPr>
                              <w:t>_</w:t>
                            </w:r>
                            <w:r w:rsidRPr="00913A28">
                              <w:rPr>
                                <w:color w:val="000000" w:themeColor="text1"/>
                                <w:highlight w:val="yellow"/>
                              </w:rPr>
                              <w:t>_____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>. The terms under which employees are permitted to use this leave are set forth below.</w:t>
                            </w:r>
                          </w:p>
                          <w:p w14:paraId="46D99BB3" w14:textId="22252C50" w:rsidR="00FF5FA8" w:rsidRDefault="00FF5FA8" w:rsidP="00FF5FA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7B2B" id="Rectangle 4" o:spid="_x0000_s1026" alt="Color-block pull quote" style="position:absolute;margin-left:416.8pt;margin-top:114.15pt;width:468pt;height:291.5pt;z-index:251663360;visibility:visible;mso-wrap-style:square;mso-width-percent:1000;mso-height-percent:0;mso-wrap-distance-left:9pt;mso-wrap-distance-top:14.4pt;mso-wrap-distance-right:9pt;mso-wrap-distance-bottom:14.4pt;mso-position-horizontal:right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" fillcolor="#bfbfbf [2412]" stroked="f" strokeweight="1pt">
                <v:textbox inset="28.8pt,7.2pt,28.8pt,7.2pt">
                  <w:txbxContent>
                    <w:p w14:paraId="2E7C35C9" w14:textId="3F666B4C" w:rsidR="00076A8C" w:rsidRPr="00076A8C" w:rsidRDefault="00076A8C" w:rsidP="00076A8C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20530">
                        <w:rPr>
                          <w:b/>
                          <w:bCs/>
                          <w:color w:val="FFFF00"/>
                        </w:rPr>
                        <w:t>[</w:t>
                      </w:r>
                      <w:r w:rsidR="0054283A" w:rsidRPr="00D20530">
                        <w:rPr>
                          <w:b/>
                          <w:bCs/>
                          <w:color w:val="FFFF00"/>
                        </w:rPr>
                        <w:t>Generally, an employer</w:t>
                      </w:r>
                      <w:r w:rsidRPr="00D20530">
                        <w:rPr>
                          <w:b/>
                          <w:bCs/>
                          <w:color w:val="FFFF00"/>
                        </w:rPr>
                        <w:t xml:space="preserve"> choose</w:t>
                      </w:r>
                      <w:r w:rsidR="0054283A" w:rsidRPr="00D20530">
                        <w:rPr>
                          <w:b/>
                          <w:bCs/>
                          <w:color w:val="FFFF00"/>
                        </w:rPr>
                        <w:t>s</w:t>
                      </w:r>
                      <w:r w:rsidRPr="00D20530">
                        <w:rPr>
                          <w:b/>
                          <w:bCs/>
                          <w:color w:val="FFFF00"/>
                        </w:rPr>
                        <w:t xml:space="preserve"> </w:t>
                      </w:r>
                      <w:r w:rsidR="0054283A" w:rsidRPr="00D20530">
                        <w:rPr>
                          <w:b/>
                          <w:bCs/>
                          <w:color w:val="FFFF00"/>
                        </w:rPr>
                        <w:t>one</w:t>
                      </w:r>
                      <w:r w:rsidRPr="00D20530">
                        <w:rPr>
                          <w:b/>
                          <w:bCs/>
                          <w:color w:val="FFFF00"/>
                        </w:rPr>
                        <w:t xml:space="preserve"> of the following two paragraphs, but not both:]</w:t>
                      </w:r>
                    </w:p>
                    <w:p w14:paraId="0721CC29" w14:textId="7BB5AC1D" w:rsidR="00FF5FA8" w:rsidRPr="00913A28" w:rsidRDefault="00FF5FA8" w:rsidP="00FF5FA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13A28">
                        <w:rPr>
                          <w:color w:val="000000" w:themeColor="text1"/>
                        </w:rPr>
                        <w:t xml:space="preserve">Pursuant to Minneapolis ordinance, employees are entitled to earn sick and safe leave at the rate of one (1) hour for every thirty (30) hours worked, up to a maximum of forty-eight (48) hours accrued per year. Accrued and unused hours carry over into future years, up to a maximum of eighty (80) hours accrued overall. When the 80-hour overall limit is reached, accrual immediately stops until </w:t>
                      </w:r>
                      <w:r w:rsidR="00277C5A" w:rsidRPr="00913A28">
                        <w:rPr>
                          <w:color w:val="000000" w:themeColor="text1"/>
                        </w:rPr>
                        <w:t>usage occurs</w:t>
                      </w:r>
                      <w:r w:rsidRPr="00913A28">
                        <w:rPr>
                          <w:color w:val="000000" w:themeColor="text1"/>
                        </w:rPr>
                        <w:t xml:space="preserve">, at which time accrual restarts (until </w:t>
                      </w:r>
                      <w:r w:rsidR="0028056A" w:rsidRPr="00913A28">
                        <w:rPr>
                          <w:color w:val="000000" w:themeColor="text1"/>
                        </w:rPr>
                        <w:t xml:space="preserve">either </w:t>
                      </w:r>
                      <w:r w:rsidRPr="00913A28">
                        <w:rPr>
                          <w:color w:val="000000" w:themeColor="text1"/>
                        </w:rPr>
                        <w:t xml:space="preserve">the yearly or overall limit is reached). When the 48-hour yearly limit is reached, accrual does not restart until the following year. The year starts on 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_____</w:t>
                      </w:r>
                      <w:r w:rsidR="00277C5A" w:rsidRPr="00913A28">
                        <w:rPr>
                          <w:color w:val="000000" w:themeColor="text1"/>
                          <w:highlight w:val="yellow"/>
                        </w:rPr>
                        <w:t>__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</w:t>
                      </w:r>
                      <w:r w:rsidRPr="00913A28">
                        <w:rPr>
                          <w:color w:val="000000" w:themeColor="text1"/>
                        </w:rPr>
                        <w:t xml:space="preserve"> and ends on 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____</w:t>
                      </w:r>
                      <w:r w:rsidR="00277C5A" w:rsidRPr="00913A28">
                        <w:rPr>
                          <w:color w:val="000000" w:themeColor="text1"/>
                          <w:highlight w:val="yellow"/>
                        </w:rPr>
                        <w:t>_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____</w:t>
                      </w:r>
                      <w:r w:rsidRPr="00913A28">
                        <w:rPr>
                          <w:color w:val="000000" w:themeColor="text1"/>
                        </w:rPr>
                        <w:t>. The terms under which employees are permitted to use this leave are set forth below.</w:t>
                      </w:r>
                    </w:p>
                    <w:p w14:paraId="36A2053B" w14:textId="1970E50C" w:rsidR="00FF5FA8" w:rsidRPr="00913A28" w:rsidRDefault="00FF5FA8" w:rsidP="00FF5FA8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913A28">
                        <w:rPr>
                          <w:color w:val="000000" w:themeColor="text1"/>
                        </w:rPr>
                        <w:t>Pursuant to Minneapolis ordinance, employees are entitled to earn sick and safe leave up to a maximum of 48 hours per year and 80 hours overall. To comply with the law, employees will be awarded 48 hours</w:t>
                      </w:r>
                      <w:r w:rsidRPr="00913A28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13A28">
                        <w:rPr>
                          <w:color w:val="000000" w:themeColor="text1"/>
                        </w:rPr>
                        <w:t xml:space="preserve">of leave </w:t>
                      </w:r>
                      <w:r w:rsidR="00514B4B" w:rsidRPr="00913A28">
                        <w:rPr>
                          <w:color w:val="000000" w:themeColor="text1"/>
                        </w:rPr>
                        <w:t xml:space="preserve">to use </w:t>
                      </w:r>
                      <w:r w:rsidR="00A33D68" w:rsidRPr="00913A28">
                        <w:rPr>
                          <w:color w:val="000000" w:themeColor="text1"/>
                        </w:rPr>
                        <w:t xml:space="preserve">after 90 days of </w:t>
                      </w:r>
                      <w:r w:rsidRPr="00913A28">
                        <w:rPr>
                          <w:color w:val="000000" w:themeColor="text1"/>
                        </w:rPr>
                        <w:t xml:space="preserve">employment and 80 hours at the beginning of every year thereafter. Unused hours do </w:t>
                      </w:r>
                      <w:r w:rsidRPr="00913A28">
                        <w:rPr>
                          <w:color w:val="000000" w:themeColor="text1"/>
                          <w:u w:val="single"/>
                        </w:rPr>
                        <w:t>not</w:t>
                      </w:r>
                      <w:r w:rsidRPr="00913A28">
                        <w:rPr>
                          <w:color w:val="000000" w:themeColor="text1"/>
                        </w:rPr>
                        <w:t xml:space="preserve"> carry over from year to year. The year commences on 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___</w:t>
                      </w:r>
                      <w:r w:rsidR="00076A8C" w:rsidRPr="00913A28">
                        <w:rPr>
                          <w:color w:val="000000" w:themeColor="text1"/>
                          <w:highlight w:val="yellow"/>
                        </w:rPr>
                        <w:t>_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</w:t>
                      </w:r>
                      <w:r w:rsidR="00277C5A" w:rsidRPr="00913A28">
                        <w:rPr>
                          <w:color w:val="000000" w:themeColor="text1"/>
                          <w:highlight w:val="yellow"/>
                        </w:rPr>
                        <w:t>_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___</w:t>
                      </w:r>
                      <w:r w:rsidRPr="00913A28">
                        <w:rPr>
                          <w:color w:val="000000" w:themeColor="text1"/>
                        </w:rPr>
                        <w:t xml:space="preserve"> and ends on 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___</w:t>
                      </w:r>
                      <w:r w:rsidR="00076A8C" w:rsidRPr="00913A28">
                        <w:rPr>
                          <w:color w:val="000000" w:themeColor="text1"/>
                          <w:highlight w:val="yellow"/>
                        </w:rPr>
                        <w:t>_</w:t>
                      </w:r>
                      <w:r w:rsidR="00277C5A" w:rsidRPr="00913A28">
                        <w:rPr>
                          <w:color w:val="000000" w:themeColor="text1"/>
                          <w:highlight w:val="yellow"/>
                        </w:rPr>
                        <w:t>_</w:t>
                      </w:r>
                      <w:r w:rsidRPr="00913A28">
                        <w:rPr>
                          <w:color w:val="000000" w:themeColor="text1"/>
                          <w:highlight w:val="yellow"/>
                        </w:rPr>
                        <w:t>_____</w:t>
                      </w:r>
                      <w:r w:rsidRPr="00913A28">
                        <w:rPr>
                          <w:color w:val="000000" w:themeColor="text1"/>
                        </w:rPr>
                        <w:t>. The terms under which employees are permitted to use this leave are set forth below.</w:t>
                      </w:r>
                    </w:p>
                    <w:p w14:paraId="46D99BB3" w14:textId="22252C50" w:rsidR="00FF5FA8" w:rsidRDefault="00FF5FA8" w:rsidP="00FF5FA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895C59" w:rsidRPr="00833E95">
        <w:rPr>
          <w:b/>
          <w:bCs/>
          <w:i/>
          <w:iCs/>
        </w:rPr>
        <w:t>NOTE TO EMPLOYERS</w:t>
      </w:r>
      <w:r w:rsidR="00895C59">
        <w:rPr>
          <w:i/>
          <w:iCs/>
        </w:rPr>
        <w:t>: T</w:t>
      </w:r>
      <w:r w:rsidR="00B343C5" w:rsidRPr="00B343C5">
        <w:rPr>
          <w:i/>
          <w:iCs/>
        </w:rPr>
        <w:t xml:space="preserve">he following sample leave policy contains only the minimum requirements under the </w:t>
      </w:r>
      <w:r w:rsidR="00895C59">
        <w:rPr>
          <w:i/>
          <w:iCs/>
        </w:rPr>
        <w:t>Minneapolis Sick and Safe Time Ordinance</w:t>
      </w:r>
      <w:r w:rsidR="00B343C5" w:rsidRPr="00B343C5">
        <w:rPr>
          <w:i/>
          <w:iCs/>
        </w:rPr>
        <w:t>. Employers are encouraged to adopt more generous policies</w:t>
      </w:r>
      <w:r w:rsidR="00A5574A">
        <w:rPr>
          <w:i/>
          <w:iCs/>
        </w:rPr>
        <w:t xml:space="preserve"> or incorporate sick and safe time into existing policies (e.g. </w:t>
      </w:r>
      <w:r w:rsidR="00A12A16">
        <w:rPr>
          <w:i/>
          <w:iCs/>
        </w:rPr>
        <w:t xml:space="preserve">a </w:t>
      </w:r>
      <w:r w:rsidR="00A5574A">
        <w:rPr>
          <w:i/>
          <w:iCs/>
        </w:rPr>
        <w:t>PTO</w:t>
      </w:r>
      <w:r w:rsidR="00A12A16">
        <w:rPr>
          <w:i/>
          <w:iCs/>
        </w:rPr>
        <w:t xml:space="preserve"> policy</w:t>
      </w:r>
      <w:r w:rsidR="00A5574A">
        <w:rPr>
          <w:i/>
          <w:iCs/>
        </w:rPr>
        <w:t>)</w:t>
      </w:r>
      <w:r w:rsidR="00B343C5" w:rsidRPr="00B343C5">
        <w:rPr>
          <w:i/>
          <w:iCs/>
        </w:rPr>
        <w:t xml:space="preserve">. </w:t>
      </w:r>
      <w:r w:rsidR="00895C59">
        <w:rPr>
          <w:i/>
          <w:iCs/>
        </w:rPr>
        <w:t xml:space="preserve">Nothing in the </w:t>
      </w:r>
      <w:r w:rsidR="003C516A">
        <w:rPr>
          <w:i/>
          <w:iCs/>
        </w:rPr>
        <w:t>O</w:t>
      </w:r>
      <w:r w:rsidR="00895C59">
        <w:rPr>
          <w:i/>
          <w:iCs/>
        </w:rPr>
        <w:t xml:space="preserve">rdinance requires </w:t>
      </w:r>
      <w:r w:rsidR="00A5574A">
        <w:rPr>
          <w:i/>
          <w:iCs/>
        </w:rPr>
        <w:t>your plan</w:t>
      </w:r>
      <w:r w:rsidR="00895C59">
        <w:rPr>
          <w:i/>
          <w:iCs/>
        </w:rPr>
        <w:t xml:space="preserve"> to be explicitly referred to as “sick and safe time.” </w:t>
      </w:r>
      <w:r w:rsidR="003C516A" w:rsidRPr="003C516A">
        <w:rPr>
          <w:i/>
          <w:iCs/>
        </w:rPr>
        <w:t>The amounts, access and conditions of use determine whether an employer’s policy complies with the Ordinance.  </w:t>
      </w:r>
      <w:r w:rsidR="00076A8C">
        <w:tab/>
      </w:r>
    </w:p>
    <w:p w14:paraId="58ABA844" w14:textId="09066148" w:rsidR="00B343C5" w:rsidRPr="00026252" w:rsidRDefault="00B343C5" w:rsidP="00B343C5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026252">
        <w:rPr>
          <w:rFonts w:asciiTheme="minorHAnsi" w:hAnsiTheme="minorHAnsi" w:cstheme="minorHAnsi"/>
          <w:color w:val="333333"/>
          <w:sz w:val="22"/>
          <w:szCs w:val="22"/>
        </w:rPr>
        <w:t xml:space="preserve">Employees will </w:t>
      </w:r>
      <w:r w:rsidRPr="00901FC4">
        <w:rPr>
          <w:rFonts w:asciiTheme="minorHAnsi" w:hAnsiTheme="minorHAnsi" w:cstheme="minorHAnsi"/>
          <w:color w:val="333333"/>
          <w:sz w:val="22"/>
          <w:szCs w:val="22"/>
        </w:rPr>
        <w:t>not</w:t>
      </w:r>
      <w:r w:rsidRPr="00026252">
        <w:rPr>
          <w:rFonts w:asciiTheme="minorHAnsi" w:hAnsiTheme="minorHAnsi" w:cstheme="minorHAnsi"/>
          <w:color w:val="333333"/>
          <w:sz w:val="22"/>
          <w:szCs w:val="22"/>
        </w:rPr>
        <w:t xml:space="preserve"> be paid for any unused sick and safe leave upon termination of employment. If an employee </w:t>
      </w:r>
      <w:r w:rsidR="00D27EAF">
        <w:rPr>
          <w:rFonts w:asciiTheme="minorHAnsi" w:hAnsiTheme="minorHAnsi" w:cstheme="minorHAnsi"/>
          <w:color w:val="333333"/>
          <w:sz w:val="22"/>
          <w:szCs w:val="22"/>
        </w:rPr>
        <w:t>separates from</w:t>
      </w:r>
      <w:r w:rsidRPr="00026252">
        <w:rPr>
          <w:rFonts w:asciiTheme="minorHAnsi" w:hAnsiTheme="minorHAnsi" w:cstheme="minorHAnsi"/>
          <w:color w:val="333333"/>
          <w:sz w:val="22"/>
          <w:szCs w:val="22"/>
        </w:rPr>
        <w:t xml:space="preserve"> employment and is rehired within </w:t>
      </w:r>
      <w:r w:rsidR="00026252" w:rsidRPr="00026252">
        <w:rPr>
          <w:rFonts w:asciiTheme="minorHAnsi" w:hAnsiTheme="minorHAnsi" w:cstheme="minorHAnsi"/>
          <w:color w:val="333333"/>
          <w:sz w:val="22"/>
          <w:szCs w:val="22"/>
        </w:rPr>
        <w:t>90 days</w:t>
      </w:r>
      <w:r w:rsidRPr="00026252">
        <w:rPr>
          <w:rFonts w:asciiTheme="minorHAnsi" w:hAnsiTheme="minorHAnsi" w:cstheme="minorHAnsi"/>
          <w:color w:val="333333"/>
          <w:sz w:val="22"/>
          <w:szCs w:val="22"/>
        </w:rPr>
        <w:t xml:space="preserve">, any earned and unused sick </w:t>
      </w:r>
      <w:r w:rsidR="00D27EAF">
        <w:rPr>
          <w:rFonts w:asciiTheme="minorHAnsi" w:hAnsiTheme="minorHAnsi" w:cstheme="minorHAnsi"/>
          <w:color w:val="333333"/>
          <w:sz w:val="22"/>
          <w:szCs w:val="22"/>
        </w:rPr>
        <w:t xml:space="preserve">and safe </w:t>
      </w:r>
      <w:r w:rsidRPr="00026252">
        <w:rPr>
          <w:rFonts w:asciiTheme="minorHAnsi" w:hAnsiTheme="minorHAnsi" w:cstheme="minorHAnsi"/>
          <w:color w:val="333333"/>
          <w:sz w:val="22"/>
          <w:szCs w:val="22"/>
        </w:rPr>
        <w:t>leave that the employee had at the time of separation will be reinstated.</w:t>
      </w:r>
    </w:p>
    <w:p w14:paraId="367E33C8" w14:textId="068757D7" w:rsidR="00006B55" w:rsidRPr="00D048D0" w:rsidRDefault="00006B55" w:rsidP="00006B55">
      <w:pPr>
        <w:jc w:val="left"/>
      </w:pPr>
      <w:r w:rsidRPr="00825ECA">
        <w:t xml:space="preserve">Employees must use at least </w:t>
      </w:r>
      <w:r w:rsidRPr="006129E4">
        <w:t>4 hours</w:t>
      </w:r>
      <w:r w:rsidRPr="00825ECA">
        <w:t xml:space="preserve"> of sick leave </w:t>
      </w:r>
      <w:r>
        <w:t xml:space="preserve">per occurrence. </w:t>
      </w:r>
    </w:p>
    <w:p w14:paraId="2F03F16F" w14:textId="62406A45" w:rsidR="00006B55" w:rsidRPr="00006B55" w:rsidRDefault="00006B55" w:rsidP="00006B55">
      <w:pPr>
        <w:jc w:val="left"/>
        <w:rPr>
          <w:rFonts w:cstheme="minorHAnsi"/>
          <w:b/>
          <w:bCs/>
        </w:rPr>
      </w:pPr>
      <w:r w:rsidRPr="00026252">
        <w:rPr>
          <w:rFonts w:cstheme="minorHAnsi"/>
        </w:rPr>
        <w:t xml:space="preserve">All employees </w:t>
      </w:r>
      <w:r>
        <w:rPr>
          <w:rFonts w:cstheme="minorHAnsi"/>
        </w:rPr>
        <w:t xml:space="preserve">begin accruing hours </w:t>
      </w:r>
      <w:r w:rsidR="00A33D68">
        <w:rPr>
          <w:rFonts w:cstheme="minorHAnsi"/>
        </w:rPr>
        <w:t xml:space="preserve">on </w:t>
      </w:r>
      <w:r>
        <w:rPr>
          <w:rFonts w:cstheme="minorHAnsi"/>
        </w:rPr>
        <w:t>the first day of work</w:t>
      </w:r>
      <w:r w:rsidRPr="00026252">
        <w:rPr>
          <w:rFonts w:cstheme="minorHAnsi"/>
        </w:rPr>
        <w:t>, regardless of whether they are full-time, part-time or temporary workers</w:t>
      </w:r>
      <w:r>
        <w:rPr>
          <w:rFonts w:cstheme="minorHAnsi"/>
        </w:rPr>
        <w:t>.</w:t>
      </w:r>
    </w:p>
    <w:p w14:paraId="18881124" w14:textId="516B3322" w:rsidR="00B343C5" w:rsidRDefault="00503E8B" w:rsidP="00B343C5">
      <w:pPr>
        <w:jc w:val="left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Following </w:t>
      </w:r>
      <w:r w:rsidRPr="00901FC4">
        <w:rPr>
          <w:rFonts w:cstheme="minorHAnsi"/>
          <w:color w:val="333333"/>
        </w:rPr>
        <w:t>90</w:t>
      </w:r>
      <w:r>
        <w:rPr>
          <w:rFonts w:cstheme="minorHAnsi"/>
          <w:color w:val="333333"/>
        </w:rPr>
        <w:t xml:space="preserve"> calendar days of employment, sick and safe leave may be used for the following authorized purposes:</w:t>
      </w:r>
    </w:p>
    <w:p w14:paraId="19060316" w14:textId="312C63AE" w:rsidR="00503E8B" w:rsidRPr="00503E8B" w:rsidRDefault="00A33D68" w:rsidP="00503E8B">
      <w:pPr>
        <w:pStyle w:val="ListParagraph"/>
        <w:numPr>
          <w:ilvl w:val="0"/>
          <w:numId w:val="1"/>
        </w:numPr>
        <w:jc w:val="left"/>
        <w:rPr>
          <w:rFonts w:cstheme="minorHAnsi"/>
          <w:color w:val="333333"/>
        </w:rPr>
      </w:pPr>
      <w:r>
        <w:t>Diagnosis, t</w:t>
      </w:r>
      <w:r w:rsidR="00503E8B">
        <w:t>reatment, recuperation, or preventative care for a medical or mental health condition, illness, or injury;</w:t>
      </w:r>
    </w:p>
    <w:p w14:paraId="780D89F3" w14:textId="353579F7" w:rsidR="00503E8B" w:rsidRPr="00503E8B" w:rsidRDefault="00514B4B" w:rsidP="00503E8B">
      <w:pPr>
        <w:pStyle w:val="ListParagraph"/>
        <w:numPr>
          <w:ilvl w:val="0"/>
          <w:numId w:val="1"/>
        </w:numPr>
        <w:jc w:val="left"/>
        <w:rPr>
          <w:rFonts w:cstheme="minorHAnsi"/>
          <w:color w:val="333333"/>
        </w:rPr>
      </w:pPr>
      <w:r>
        <w:t>L</w:t>
      </w:r>
      <w:r w:rsidR="00D61048">
        <w:t>egal action</w:t>
      </w:r>
      <w:r>
        <w:t>,</w:t>
      </w:r>
      <w:r w:rsidR="00D61048">
        <w:t xml:space="preserve"> </w:t>
      </w:r>
      <w:r w:rsidR="00503E8B">
        <w:t>counseling or other services for domestic abuse, sexual assault, or stalking; or</w:t>
      </w:r>
    </w:p>
    <w:p w14:paraId="283D88AA" w14:textId="1D116C96" w:rsidR="00503E8B" w:rsidRPr="0022436C" w:rsidRDefault="00503E8B" w:rsidP="00B343C5">
      <w:pPr>
        <w:pStyle w:val="ListParagraph"/>
        <w:numPr>
          <w:ilvl w:val="0"/>
          <w:numId w:val="1"/>
        </w:numPr>
        <w:jc w:val="left"/>
        <w:rPr>
          <w:rFonts w:cstheme="minorHAnsi"/>
          <w:color w:val="333333"/>
        </w:rPr>
      </w:pPr>
      <w:r>
        <w:lastRenderedPageBreak/>
        <w:t xml:space="preserve">Care </w:t>
      </w:r>
      <w:r w:rsidR="00277C5A">
        <w:t>of a</w:t>
      </w:r>
      <w:r>
        <w:t xml:space="preserve"> </w:t>
      </w:r>
      <w:r w:rsidR="00E67E40">
        <w:t xml:space="preserve">covered </w:t>
      </w:r>
      <w:r>
        <w:t xml:space="preserve">family member </w:t>
      </w:r>
      <w:r w:rsidR="00E67E40">
        <w:t xml:space="preserve">who is sick </w:t>
      </w:r>
      <w:r w:rsidR="00277C5A">
        <w:t>(</w:t>
      </w:r>
      <w:r w:rsidR="00D61048">
        <w:t>or needs diagnosis, treatment, or preventative care</w:t>
      </w:r>
      <w:r w:rsidR="00277C5A">
        <w:t>)</w:t>
      </w:r>
      <w:r w:rsidR="00D61048">
        <w:t xml:space="preserve">, </w:t>
      </w:r>
      <w:r w:rsidR="00E67E40">
        <w:t xml:space="preserve">or </w:t>
      </w:r>
      <w:r>
        <w:t xml:space="preserve">during emergency closure of </w:t>
      </w:r>
      <w:r w:rsidR="00E67E40">
        <w:t xml:space="preserve">their </w:t>
      </w:r>
      <w:r>
        <w:t>school or place of care</w:t>
      </w:r>
      <w:r w:rsidR="000E4B25">
        <w:t xml:space="preserve"> (</w:t>
      </w:r>
      <w:r>
        <w:t>including for inclement weather</w:t>
      </w:r>
      <w:r w:rsidR="000E4B25">
        <w:t>)</w:t>
      </w:r>
    </w:p>
    <w:p w14:paraId="701BCE6A" w14:textId="50822A3D" w:rsidR="0022436C" w:rsidRPr="00503E8B" w:rsidRDefault="0022436C" w:rsidP="00B343C5">
      <w:pPr>
        <w:pStyle w:val="ListParagraph"/>
        <w:numPr>
          <w:ilvl w:val="0"/>
          <w:numId w:val="1"/>
        </w:numPr>
        <w:jc w:val="left"/>
        <w:rPr>
          <w:rFonts w:cstheme="minorHAnsi"/>
          <w:color w:val="333333"/>
        </w:rPr>
      </w:pPr>
      <w:r>
        <w:t>Scheduled work shift cancelled due to public health emergency by order of a public official</w:t>
      </w:r>
    </w:p>
    <w:p w14:paraId="57DF681F" w14:textId="56D8F8BD" w:rsidR="00503E8B" w:rsidRDefault="00503E8B" w:rsidP="00B343C5">
      <w:pPr>
        <w:jc w:val="left"/>
      </w:pPr>
      <w:r>
        <w:t xml:space="preserve">Covered family members </w:t>
      </w:r>
      <w:r w:rsidR="008D4884">
        <w:t>include</w:t>
      </w:r>
      <w:r w:rsidR="00825ECA" w:rsidRPr="00825ECA">
        <w:t xml:space="preserve"> </w:t>
      </w:r>
      <w:r w:rsidR="00514B4B">
        <w:t>immediate family and/</w:t>
      </w:r>
      <w:r w:rsidR="00825ECA">
        <w:t xml:space="preserve">or </w:t>
      </w:r>
      <w:r w:rsidR="00514B4B">
        <w:t xml:space="preserve">a </w:t>
      </w:r>
      <w:r w:rsidR="00825ECA">
        <w:t xml:space="preserve">member of </w:t>
      </w:r>
      <w:r w:rsidR="00514B4B">
        <w:t xml:space="preserve">the employee’s </w:t>
      </w:r>
      <w:r w:rsidR="00825ECA">
        <w:t>household.</w:t>
      </w:r>
    </w:p>
    <w:p w14:paraId="6CA0DB99" w14:textId="2F65F5F0" w:rsidR="00006B55" w:rsidRDefault="00006B55" w:rsidP="00006B55">
      <w:pPr>
        <w:tabs>
          <w:tab w:val="left" w:pos="180"/>
          <w:tab w:val="center" w:pos="4680"/>
        </w:tabs>
        <w:jc w:val="left"/>
      </w:pPr>
      <w:r w:rsidRPr="00DB54CD">
        <w:t>Employees may only use sick and safe leave for one of the authorized reasons</w:t>
      </w:r>
      <w:r>
        <w:t xml:space="preserve"> listed above</w:t>
      </w:r>
      <w:r w:rsidRPr="00D048D0">
        <w:t>. Employees using earned sick and safe leave for unauthorized purposes</w:t>
      </w:r>
      <w:r>
        <w:t xml:space="preserve"> lose protection of the ordinance for that </w:t>
      </w:r>
      <w:r w:rsidRPr="00DB54CD">
        <w:t>absence.</w:t>
      </w:r>
    </w:p>
    <w:p w14:paraId="6CFDE793" w14:textId="1D193FDD" w:rsidR="00A55DAA" w:rsidRDefault="00503E8B" w:rsidP="00DF7071">
      <w:pPr>
        <w:jc w:val="left"/>
      </w:pPr>
      <w:r>
        <w:t xml:space="preserve">Retaliation by management </w:t>
      </w:r>
      <w:r w:rsidR="00006B55">
        <w:t>against</w:t>
      </w:r>
      <w:r>
        <w:t xml:space="preserve"> </w:t>
      </w:r>
      <w:r w:rsidR="00825ECA">
        <w:t>an employee’s</w:t>
      </w:r>
      <w:r>
        <w:t xml:space="preserve"> legitimate use of sick and safe leave is strictly prohibited by law.</w:t>
      </w:r>
    </w:p>
    <w:p w14:paraId="39F9DF2F" w14:textId="738CF4B3" w:rsidR="00006B55" w:rsidRDefault="00006B55" w:rsidP="00DF7071">
      <w:pPr>
        <w:jc w:val="left"/>
      </w:pPr>
      <w:r w:rsidRPr="00A55DAA">
        <w:t xml:space="preserve">No </w:t>
      </w:r>
      <w:r>
        <w:t xml:space="preserve">medical or other </w:t>
      </w:r>
      <w:r w:rsidRPr="00A55DAA">
        <w:t xml:space="preserve">documentation will be required </w:t>
      </w:r>
      <w:r>
        <w:t>from the employee unless more than</w:t>
      </w:r>
      <w:r w:rsidRPr="00A55DAA">
        <w:t xml:space="preserve"> three consecutive absence</w:t>
      </w:r>
      <w:r>
        <w:t xml:space="preserve">s </w:t>
      </w:r>
      <w:r w:rsidR="009D62D9">
        <w:t>occur, or clear evidence of illegitimate use exists</w:t>
      </w:r>
      <w:r w:rsidRPr="00A55DAA">
        <w:t xml:space="preserve">. Employees who </w:t>
      </w:r>
      <w:r>
        <w:t>use</w:t>
      </w:r>
      <w:r w:rsidRPr="00A55DAA">
        <w:t xml:space="preserve"> sick or safe time leave for more </w:t>
      </w:r>
      <w:r>
        <w:t xml:space="preserve">than 3 </w:t>
      </w:r>
      <w:r w:rsidRPr="00A55DAA">
        <w:t xml:space="preserve">consecutive </w:t>
      </w:r>
      <w:r w:rsidR="009D62D9">
        <w:t>absences</w:t>
      </w:r>
      <w:r w:rsidR="00D61048">
        <w:t xml:space="preserve"> </w:t>
      </w:r>
      <w:r w:rsidRPr="00A55DAA">
        <w:t xml:space="preserve">may be required to provide reasonable certification of the need for leave including, for example, </w:t>
      </w:r>
      <w:r>
        <w:t>evidence of service or medical treatment provided by a professional</w:t>
      </w:r>
      <w:r w:rsidRPr="00A55DAA">
        <w:t xml:space="preserve">. </w:t>
      </w:r>
      <w:r>
        <w:t xml:space="preserve"> </w:t>
      </w:r>
    </w:p>
    <w:p w14:paraId="175F9D8D" w14:textId="49EBA909" w:rsidR="00AB2A4A" w:rsidRDefault="00913A28" w:rsidP="00AB2A4A">
      <w:pPr>
        <w:jc w:val="left"/>
      </w:pPr>
      <w:r w:rsidRPr="003F3727">
        <w:rPr>
          <w:noProof/>
          <w:highlight w:val="yellow"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7486FB0F" wp14:editId="77CF165B">
                <wp:simplePos x="0" y="0"/>
                <wp:positionH relativeFrom="margin">
                  <wp:align>right</wp:align>
                </wp:positionH>
                <wp:positionV relativeFrom="margin">
                  <wp:posOffset>3803650</wp:posOffset>
                </wp:positionV>
                <wp:extent cx="5943600" cy="876300"/>
                <wp:effectExtent l="0" t="0" r="19050" b="19050"/>
                <wp:wrapTopAndBottom/>
                <wp:docPr id="3" name="Rectangle 3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76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5C560" w14:textId="01945B10" w:rsidR="003F3727" w:rsidRPr="003F3727" w:rsidRDefault="00D61048" w:rsidP="008D4884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913A28">
                              <w:rPr>
                                <w:color w:val="000000" w:themeColor="text1"/>
                              </w:rPr>
                              <w:t>When an employee wishes to use sick and safe leave, n</w:t>
                            </w:r>
                            <w:r w:rsidR="003F3727" w:rsidRPr="00913A28">
                              <w:rPr>
                                <w:color w:val="000000" w:themeColor="text1"/>
                              </w:rPr>
                              <w:t xml:space="preserve">otice must be given </w:t>
                            </w:r>
                            <w:r w:rsidRPr="00913A28">
                              <w:rPr>
                                <w:color w:val="000000" w:themeColor="text1"/>
                              </w:rPr>
                              <w:t xml:space="preserve">by </w:t>
                            </w:r>
                            <w:r w:rsidR="003F3727" w:rsidRPr="00913A28">
                              <w:rPr>
                                <w:color w:val="000000" w:themeColor="text1"/>
                                <w:highlight w:val="yellow"/>
                              </w:rPr>
                              <w:t>________________</w:t>
                            </w:r>
                            <w:r w:rsidR="003F3727" w:rsidRPr="00913A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F3727" w:rsidRPr="00D20530">
                              <w:rPr>
                                <w:color w:val="FFFF00"/>
                              </w:rPr>
                              <w:t>[</w:t>
                            </w:r>
                            <w:r w:rsidR="003F3727" w:rsidRPr="00D20530">
                              <w:rPr>
                                <w:b/>
                                <w:bCs/>
                                <w:color w:val="FFFF00"/>
                              </w:rPr>
                              <w:t>Employer Option to insert the desired method of notice</w:t>
                            </w:r>
                            <w:r w:rsidR="003F3727" w:rsidRPr="00D20530">
                              <w:rPr>
                                <w:color w:val="FFFF00"/>
                              </w:rPr>
                              <w:t xml:space="preserve">] </w:t>
                            </w:r>
                            <w:r w:rsidR="003F3727" w:rsidRPr="00913A28">
                              <w:rPr>
                                <w:color w:val="000000" w:themeColor="text1"/>
                              </w:rPr>
                              <w:t xml:space="preserve">and directed </w:t>
                            </w:r>
                            <w:r w:rsidR="003F3727" w:rsidRPr="00370773"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3F3727" w:rsidRPr="00370773">
                              <w:rPr>
                                <w:color w:val="000000" w:themeColor="text1"/>
                                <w:highlight w:val="yellow"/>
                              </w:rPr>
                              <w:t>___________</w:t>
                            </w:r>
                            <w:r w:rsidR="003F3727" w:rsidRPr="00370773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3F3727" w:rsidRPr="00D20530">
                              <w:rPr>
                                <w:color w:val="FFFF00"/>
                              </w:rPr>
                              <w:t>[</w:t>
                            </w:r>
                            <w:r w:rsidR="003F3727" w:rsidRPr="00D20530">
                              <w:rPr>
                                <w:b/>
                                <w:bCs/>
                                <w:color w:val="FFFF00"/>
                              </w:rPr>
                              <w:t>Employer Option</w:t>
                            </w:r>
                            <w:r w:rsidR="003F3727" w:rsidRPr="00D20530">
                              <w:rPr>
                                <w:color w:val="FFFF00"/>
                              </w:rPr>
                              <w:t>]</w:t>
                            </w:r>
                          </w:p>
                          <w:p w14:paraId="023E95FF" w14:textId="326B39C3" w:rsidR="003F3727" w:rsidRDefault="003F3727" w:rsidP="003F372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6FB0F" id="Rectangle 3" o:spid="_x0000_s1027" alt="Color-block pull quote" style="position:absolute;margin-left:416.8pt;margin-top:299.5pt;width:468pt;height:69pt;z-index:251659264;visibility:visible;mso-wrap-style:square;mso-width-percent:1000;mso-height-percent:0;mso-wrap-distance-left:9pt;mso-wrap-distance-top:14.4pt;mso-wrap-distance-right:9pt;mso-wrap-distance-bottom:14.4pt;mso-position-horizontal:right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" fillcolor="#bfbfbf [2412]" strokecolor="#d8d8d8 [2732]" strokeweight="1pt">
                <v:textbox inset="28.8pt,7.2pt,28.8pt,7.2pt">
                  <w:txbxContent>
                    <w:p w14:paraId="3F35C560" w14:textId="01945B10" w:rsidR="003F3727" w:rsidRPr="003F3727" w:rsidRDefault="00D61048" w:rsidP="008D4884">
                      <w:pPr>
                        <w:jc w:val="left"/>
                        <w:rPr>
                          <w:color w:val="FFFFFF" w:themeColor="background1"/>
                        </w:rPr>
                      </w:pPr>
                      <w:r w:rsidRPr="00913A28">
                        <w:rPr>
                          <w:color w:val="000000" w:themeColor="text1"/>
                        </w:rPr>
                        <w:t>When an employee wishes to use sick and safe leave, n</w:t>
                      </w:r>
                      <w:r w:rsidR="003F3727" w:rsidRPr="00913A28">
                        <w:rPr>
                          <w:color w:val="000000" w:themeColor="text1"/>
                        </w:rPr>
                        <w:t xml:space="preserve">otice must be given </w:t>
                      </w:r>
                      <w:r w:rsidRPr="00913A28">
                        <w:rPr>
                          <w:color w:val="000000" w:themeColor="text1"/>
                        </w:rPr>
                        <w:t xml:space="preserve">by </w:t>
                      </w:r>
                      <w:r w:rsidR="003F3727" w:rsidRPr="00913A28">
                        <w:rPr>
                          <w:color w:val="000000" w:themeColor="text1"/>
                          <w:highlight w:val="yellow"/>
                        </w:rPr>
                        <w:t>________________</w:t>
                      </w:r>
                      <w:r w:rsidR="003F3727" w:rsidRPr="00913A28">
                        <w:rPr>
                          <w:color w:val="000000" w:themeColor="text1"/>
                        </w:rPr>
                        <w:t xml:space="preserve"> </w:t>
                      </w:r>
                      <w:r w:rsidR="003F3727" w:rsidRPr="00D20530">
                        <w:rPr>
                          <w:color w:val="FFFF00"/>
                        </w:rPr>
                        <w:t>[</w:t>
                      </w:r>
                      <w:r w:rsidR="003F3727" w:rsidRPr="00D20530">
                        <w:rPr>
                          <w:b/>
                          <w:bCs/>
                          <w:color w:val="FFFF00"/>
                        </w:rPr>
                        <w:t>Employer Option to insert the desired method of notice</w:t>
                      </w:r>
                      <w:r w:rsidR="003F3727" w:rsidRPr="00D20530">
                        <w:rPr>
                          <w:color w:val="FFFF00"/>
                        </w:rPr>
                        <w:t xml:space="preserve">] </w:t>
                      </w:r>
                      <w:r w:rsidR="003F3727" w:rsidRPr="00913A28">
                        <w:rPr>
                          <w:color w:val="000000" w:themeColor="text1"/>
                        </w:rPr>
                        <w:t xml:space="preserve">and directed </w:t>
                      </w:r>
                      <w:r w:rsidR="003F3727" w:rsidRPr="00370773">
                        <w:rPr>
                          <w:color w:val="000000" w:themeColor="text1"/>
                        </w:rPr>
                        <w:t xml:space="preserve">to </w:t>
                      </w:r>
                      <w:r w:rsidR="003F3727" w:rsidRPr="00370773">
                        <w:rPr>
                          <w:color w:val="000000" w:themeColor="text1"/>
                          <w:highlight w:val="yellow"/>
                        </w:rPr>
                        <w:t>___________</w:t>
                      </w:r>
                      <w:r w:rsidR="003F3727" w:rsidRPr="00370773">
                        <w:rPr>
                          <w:color w:val="000000" w:themeColor="text1"/>
                        </w:rPr>
                        <w:t xml:space="preserve">. </w:t>
                      </w:r>
                      <w:r w:rsidR="003F3727" w:rsidRPr="00D20530">
                        <w:rPr>
                          <w:color w:val="FFFF00"/>
                        </w:rPr>
                        <w:t>[</w:t>
                      </w:r>
                      <w:r w:rsidR="003F3727" w:rsidRPr="00D20530">
                        <w:rPr>
                          <w:b/>
                          <w:bCs/>
                          <w:color w:val="FFFF00"/>
                        </w:rPr>
                        <w:t>Employer Option</w:t>
                      </w:r>
                      <w:r w:rsidR="003F3727" w:rsidRPr="00D20530">
                        <w:rPr>
                          <w:color w:val="FFFF00"/>
                        </w:rPr>
                        <w:t>]</w:t>
                      </w:r>
                    </w:p>
                    <w:p w14:paraId="023E95FF" w14:textId="326B39C3" w:rsidR="003F3727" w:rsidRDefault="003F3727" w:rsidP="003F372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B2A4A" w:rsidRPr="00A55DAA">
        <w:t xml:space="preserve">In the case of an unforeseen need to take leave, for example, the illness of an employee or his or her family member or in the case of an emergency, </w:t>
      </w:r>
      <w:r w:rsidR="00AB2A4A">
        <w:t>notice</w:t>
      </w:r>
      <w:r w:rsidR="00AB2A4A" w:rsidRPr="00A55DAA">
        <w:t xml:space="preserve"> should be given</w:t>
      </w:r>
      <w:r>
        <w:t xml:space="preserve"> by the employee</w:t>
      </w:r>
      <w:r w:rsidR="00AB2A4A" w:rsidRPr="00A55DAA">
        <w:t xml:space="preserve"> as soon as </w:t>
      </w:r>
      <w:r w:rsidR="00AB2A4A">
        <w:t>practicable (and</w:t>
      </w:r>
      <w:r w:rsidR="00825ECA">
        <w:t>,</w:t>
      </w:r>
      <w:r w:rsidR="00AB2A4A">
        <w:t xml:space="preserve"> ge</w:t>
      </w:r>
      <w:bookmarkStart w:id="0" w:name="_GoBack"/>
      <w:bookmarkEnd w:id="0"/>
      <w:r w:rsidR="00AB2A4A">
        <w:t>nerally</w:t>
      </w:r>
      <w:r w:rsidR="00825ECA">
        <w:t>,</w:t>
      </w:r>
      <w:r w:rsidR="00AB2A4A">
        <w:t xml:space="preserve"> before</w:t>
      </w:r>
      <w:r w:rsidR="00AB2A4A" w:rsidRPr="00A55DAA">
        <w:t xml:space="preserve"> the </w:t>
      </w:r>
      <w:r w:rsidR="00AB2A4A">
        <w:t>start of the</w:t>
      </w:r>
      <w:r w:rsidR="00AB2A4A" w:rsidRPr="00A55DAA">
        <w:t xml:space="preserve"> work shift</w:t>
      </w:r>
      <w:r w:rsidR="00AB2A4A">
        <w:t>)</w:t>
      </w:r>
      <w:r w:rsidR="00AB2A4A" w:rsidRPr="00A55DAA">
        <w:t xml:space="preserve">. </w:t>
      </w:r>
    </w:p>
    <w:p w14:paraId="50D6D4EB" w14:textId="22716B2B" w:rsidR="00825ECA" w:rsidRDefault="00D048D0" w:rsidP="00D048D0">
      <w:pPr>
        <w:tabs>
          <w:tab w:val="left" w:pos="180"/>
          <w:tab w:val="center" w:pos="4680"/>
        </w:tabs>
        <w:jc w:val="left"/>
      </w:pPr>
      <w:r w:rsidRPr="00D048D0">
        <w:t xml:space="preserve">If the need to use sick and safe leave is </w:t>
      </w:r>
      <w:r w:rsidRPr="00D048D0">
        <w:rPr>
          <w:i/>
          <w:iCs/>
        </w:rPr>
        <w:t>foreseeable</w:t>
      </w:r>
      <w:r w:rsidRPr="00D048D0">
        <w:t xml:space="preserve"> (for example a scheduled doctor’s appointment), employee</w:t>
      </w:r>
      <w:r w:rsidR="00AB2A4A">
        <w:t>s</w:t>
      </w:r>
      <w:r w:rsidRPr="00D048D0">
        <w:t xml:space="preserve"> must provide notice </w:t>
      </w:r>
      <w:r w:rsidR="00AB2A4A">
        <w:t xml:space="preserve">at least </w:t>
      </w:r>
      <w:r w:rsidRPr="00DB54CD">
        <w:t>7</w:t>
      </w:r>
      <w:r w:rsidRPr="00D048D0">
        <w:t xml:space="preserve"> days prior to </w:t>
      </w:r>
      <w:r w:rsidR="00AB2A4A">
        <w:t>the absence</w:t>
      </w:r>
      <w:r w:rsidRPr="00D048D0">
        <w:t xml:space="preserve">. </w:t>
      </w:r>
    </w:p>
    <w:p w14:paraId="7824CECE" w14:textId="69C690EC" w:rsidR="00D048D0" w:rsidRPr="00D048D0" w:rsidRDefault="00D048D0" w:rsidP="00D048D0">
      <w:pPr>
        <w:tabs>
          <w:tab w:val="left" w:pos="180"/>
          <w:tab w:val="center" w:pos="4680"/>
        </w:tabs>
        <w:jc w:val="left"/>
      </w:pPr>
      <w:r w:rsidRPr="00D048D0">
        <w:t>A request for sick and safe leave may be denied if the employee fails to provide proper notice</w:t>
      </w:r>
      <w:r>
        <w:t>.</w:t>
      </w:r>
    </w:p>
    <w:p w14:paraId="5A7AE2FD" w14:textId="425DC4D1" w:rsidR="00A55DAA" w:rsidRPr="003C516A" w:rsidRDefault="004F3B4B" w:rsidP="00A55DAA">
      <w:pPr>
        <w:jc w:val="left"/>
      </w:pPr>
      <w:r w:rsidRPr="003F3727">
        <w:rPr>
          <w:noProof/>
          <w:highlight w:val="yellow"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17781229" wp14:editId="70C09D80">
                <wp:simplePos x="0" y="0"/>
                <wp:positionH relativeFrom="margin">
                  <wp:align>right</wp:align>
                </wp:positionH>
                <wp:positionV relativeFrom="margin">
                  <wp:posOffset>5838190</wp:posOffset>
                </wp:positionV>
                <wp:extent cx="5943600" cy="1334770"/>
                <wp:effectExtent l="0" t="0" r="0" b="0"/>
                <wp:wrapTopAndBottom/>
                <wp:docPr id="2" name="Rectangle 2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34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DF3E3" w14:textId="2CC5DF90" w:rsidR="003F3727" w:rsidRPr="00913A28" w:rsidRDefault="003F3727" w:rsidP="008D4884">
                            <w:pPr>
                              <w:jc w:val="left"/>
                            </w:pPr>
                            <w:r w:rsidRPr="00913A28">
                              <w:t xml:space="preserve">Employees will be notified of their paid sick leave balances each month on their </w:t>
                            </w:r>
                            <w:r w:rsidR="00FF04F3" w:rsidRPr="00913A28">
                              <w:t xml:space="preserve">earnings statement </w:t>
                            </w:r>
                            <w:r w:rsidRPr="00913A28">
                              <w:t>including sick and safe time hours (or other qualifying leave) accrued and unused.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81229" id="Rectangle 2" o:spid="_x0000_s1028" alt="Color-block pull quote" style="position:absolute;margin-left:416.8pt;margin-top:459.7pt;width:468pt;height:105.1pt;z-index:251661312;visibility:visible;mso-wrap-style:square;mso-width-percent:1000;mso-height-percent:0;mso-wrap-distance-left:9pt;mso-wrap-distance-top:14.4pt;mso-wrap-distance-right:9pt;mso-wrap-distance-bottom:14.4pt;mso-position-horizontal:right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" fillcolor="#bfbfbf [2412]" stroked="f" strokeweight="1pt">
                <v:textbox style="mso-fit-shape-to-text:t" inset="28.8pt,7.2pt,28.8pt,7.2pt">
                  <w:txbxContent>
                    <w:p w14:paraId="56BDF3E3" w14:textId="2CC5DF90" w:rsidR="003F3727" w:rsidRPr="00913A28" w:rsidRDefault="003F3727" w:rsidP="008D4884">
                      <w:pPr>
                        <w:jc w:val="left"/>
                      </w:pPr>
                      <w:r w:rsidRPr="00913A28">
                        <w:t xml:space="preserve">Employees will be notified of their paid sick leave balances each month on their </w:t>
                      </w:r>
                      <w:r w:rsidR="00FF04F3" w:rsidRPr="00913A28">
                        <w:t xml:space="preserve">earnings statement </w:t>
                      </w:r>
                      <w:r w:rsidRPr="00913A28">
                        <w:t>including sick and safe time hours (or other qualifying leave) accrued and unused.</w:t>
                      </w: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A55DAA" w:rsidRPr="003C516A">
        <w:t xml:space="preserve">Paid sick leave hours will be compensated at </w:t>
      </w:r>
      <w:r w:rsidR="008D4884">
        <w:t>the</w:t>
      </w:r>
      <w:r w:rsidR="00A55DAA" w:rsidRPr="003C516A">
        <w:t xml:space="preserve"> employee’s </w:t>
      </w:r>
      <w:r w:rsidR="00D06D29" w:rsidRPr="003C516A">
        <w:t>hourly rate of</w:t>
      </w:r>
      <w:r w:rsidR="00A55DAA" w:rsidRPr="003C516A">
        <w:t xml:space="preserve"> pay</w:t>
      </w:r>
      <w:r w:rsidR="0079262A">
        <w:t xml:space="preserve"> (with benefits)</w:t>
      </w:r>
      <w:r w:rsidR="00A55DAA" w:rsidRPr="003C516A">
        <w:t xml:space="preserve">, excluding tips, service charges, commissions and overtime rates, where applicable. </w:t>
      </w:r>
      <w:r w:rsidR="00AB2A4A" w:rsidRPr="003C516A">
        <w:t xml:space="preserve"> </w:t>
      </w:r>
    </w:p>
    <w:p w14:paraId="32B08EB4" w14:textId="0371DDFC" w:rsidR="00A55DAA" w:rsidRDefault="00A55DAA" w:rsidP="00A55DAA">
      <w:pPr>
        <w:jc w:val="left"/>
      </w:pPr>
      <w:r w:rsidRPr="003C516A">
        <w:t xml:space="preserve">Paid sick leave hours will not count </w:t>
      </w:r>
      <w:r w:rsidR="00D06D29" w:rsidRPr="003C516A">
        <w:t>as</w:t>
      </w:r>
      <w:r w:rsidRPr="003C516A">
        <w:t xml:space="preserve"> </w:t>
      </w:r>
      <w:r w:rsidR="00D06D29" w:rsidRPr="003C516A">
        <w:t xml:space="preserve">hours worked for the purposes of any </w:t>
      </w:r>
      <w:r w:rsidRPr="003C516A">
        <w:t>overtime</w:t>
      </w:r>
      <w:r w:rsidR="00D06D29" w:rsidRPr="003C516A">
        <w:t xml:space="preserve"> calculation</w:t>
      </w:r>
      <w:r w:rsidRPr="003C516A">
        <w:t>.</w:t>
      </w:r>
    </w:p>
    <w:p w14:paraId="03279BAA" w14:textId="06CC1746" w:rsidR="00D048D0" w:rsidRDefault="00D048D0" w:rsidP="00D048D0">
      <w:pPr>
        <w:tabs>
          <w:tab w:val="left" w:pos="180"/>
          <w:tab w:val="center" w:pos="4680"/>
        </w:tabs>
        <w:jc w:val="left"/>
      </w:pPr>
    </w:p>
    <w:p w14:paraId="7D8B7064" w14:textId="78450BA4" w:rsidR="00D048D0" w:rsidRPr="00D048D0" w:rsidRDefault="00D048D0" w:rsidP="00D048D0">
      <w:pPr>
        <w:tabs>
          <w:tab w:val="left" w:pos="180"/>
          <w:tab w:val="center" w:pos="4680"/>
        </w:tabs>
        <w:jc w:val="left"/>
      </w:pPr>
      <w:r>
        <w:tab/>
      </w:r>
      <w:r>
        <w:tab/>
      </w:r>
      <w:r>
        <w:tab/>
      </w:r>
    </w:p>
    <w:sectPr w:rsidR="00D048D0" w:rsidRPr="00D04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0CF4"/>
    <w:multiLevelType w:val="hybridMultilevel"/>
    <w:tmpl w:val="28D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C5"/>
    <w:rsid w:val="000057E5"/>
    <w:rsid w:val="00006B55"/>
    <w:rsid w:val="00026252"/>
    <w:rsid w:val="0004046B"/>
    <w:rsid w:val="00076A8C"/>
    <w:rsid w:val="000E4B25"/>
    <w:rsid w:val="001F0C7E"/>
    <w:rsid w:val="0022436C"/>
    <w:rsid w:val="00277C5A"/>
    <w:rsid w:val="0028056A"/>
    <w:rsid w:val="003158D4"/>
    <w:rsid w:val="00370773"/>
    <w:rsid w:val="003C516A"/>
    <w:rsid w:val="003F3727"/>
    <w:rsid w:val="00412022"/>
    <w:rsid w:val="004F3B4B"/>
    <w:rsid w:val="00503E8B"/>
    <w:rsid w:val="00514B4B"/>
    <w:rsid w:val="0054283A"/>
    <w:rsid w:val="00557E1A"/>
    <w:rsid w:val="005C1278"/>
    <w:rsid w:val="006129E4"/>
    <w:rsid w:val="006E09BE"/>
    <w:rsid w:val="0079262A"/>
    <w:rsid w:val="00825ECA"/>
    <w:rsid w:val="00833E95"/>
    <w:rsid w:val="00895C59"/>
    <w:rsid w:val="008A742C"/>
    <w:rsid w:val="008D4884"/>
    <w:rsid w:val="00901FC4"/>
    <w:rsid w:val="00913A28"/>
    <w:rsid w:val="009D62D9"/>
    <w:rsid w:val="00A12A16"/>
    <w:rsid w:val="00A12BC7"/>
    <w:rsid w:val="00A33D68"/>
    <w:rsid w:val="00A5574A"/>
    <w:rsid w:val="00A55DAA"/>
    <w:rsid w:val="00A6574D"/>
    <w:rsid w:val="00A81707"/>
    <w:rsid w:val="00AB2A4A"/>
    <w:rsid w:val="00B10B0D"/>
    <w:rsid w:val="00B343C5"/>
    <w:rsid w:val="00C0342A"/>
    <w:rsid w:val="00C67D1A"/>
    <w:rsid w:val="00D048D0"/>
    <w:rsid w:val="00D06D29"/>
    <w:rsid w:val="00D20530"/>
    <w:rsid w:val="00D27EAF"/>
    <w:rsid w:val="00D61048"/>
    <w:rsid w:val="00DB54CD"/>
    <w:rsid w:val="00DD56AB"/>
    <w:rsid w:val="00DF7071"/>
    <w:rsid w:val="00E67E40"/>
    <w:rsid w:val="00F654E7"/>
    <w:rsid w:val="00FF04F3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9E98"/>
  <w15:chartTrackingRefBased/>
  <w15:docId w15:val="{8E5BECB3-8DFB-446B-8F98-29F9BA3E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6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43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D6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D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1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0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0EC6F-76EA-4E6A-844E-FBE56AB5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Brian R.</dc:creator>
  <cp:keywords/>
  <dc:description/>
  <cp:lastModifiedBy>Walsh, Brian R.</cp:lastModifiedBy>
  <cp:revision>5</cp:revision>
  <dcterms:created xsi:type="dcterms:W3CDTF">2020-05-06T22:59:00Z</dcterms:created>
  <dcterms:modified xsi:type="dcterms:W3CDTF">2020-06-13T03:06:00Z</dcterms:modified>
</cp:coreProperties>
</file>